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47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626"/>
        <w:gridCol w:w="829"/>
        <w:gridCol w:w="1721"/>
        <w:gridCol w:w="524"/>
        <w:gridCol w:w="468"/>
        <w:gridCol w:w="994"/>
        <w:gridCol w:w="709"/>
        <w:gridCol w:w="76"/>
        <w:gridCol w:w="753"/>
        <w:gridCol w:w="753"/>
        <w:gridCol w:w="754"/>
      </w:tblGrid>
      <w:tr w:rsidR="00D37319" w:rsidRPr="00A27A64" w:rsidTr="00DD34D1"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291911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zh-CN"/>
              </w:rPr>
              <w:t>C-I – Personální zabezpečení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zh-CN"/>
              </w:rPr>
              <w:t xml:space="preserve">                                                                                             </w:t>
            </w:r>
            <w:hyperlink w:anchor="Personální_zabezpečení_přehled_vyučují" w:history="1">
              <w:r w:rsidRPr="00D51F26">
                <w:rPr>
                  <w:rStyle w:val="Hypertextovodkaz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sym w:font="Wingdings" w:char="F0C8"/>
              </w:r>
            </w:hyperlink>
          </w:p>
        </w:tc>
      </w:tr>
      <w:tr w:rsidR="00D37319" w:rsidRPr="00A27A64" w:rsidTr="00DD34D1">
        <w:tc>
          <w:tcPr>
            <w:tcW w:w="26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Vysoká škola</w:t>
            </w:r>
          </w:p>
        </w:tc>
        <w:tc>
          <w:tcPr>
            <w:tcW w:w="758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7319" w:rsidRPr="00A27A64" w:rsidRDefault="00D37319" w:rsidP="00DD3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Univerzita Tomáše Bati ve Zlíně</w:t>
            </w:r>
          </w:p>
        </w:tc>
      </w:tr>
      <w:tr w:rsidR="00D37319" w:rsidRPr="00A27A64" w:rsidTr="00DD34D1"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Součást vysoké školy</w:t>
            </w:r>
          </w:p>
        </w:tc>
        <w:tc>
          <w:tcPr>
            <w:tcW w:w="758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Fakulta technologická</w:t>
            </w:r>
          </w:p>
        </w:tc>
      </w:tr>
      <w:tr w:rsidR="00D37319" w:rsidRPr="00A27A64" w:rsidTr="00DD34D1"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Název studijního programu</w:t>
            </w:r>
          </w:p>
        </w:tc>
        <w:tc>
          <w:tcPr>
            <w:tcW w:w="758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hyperlink w:anchor="B_IIa_Studijní_plány" w:history="1">
              <w:r w:rsidRPr="00283302">
                <w:rPr>
                  <w:rStyle w:val="Hypertextovodkaz"/>
                  <w:rFonts w:ascii="Times New Roman" w:eastAsia="Times New Roman" w:hAnsi="Times New Roman" w:cs="Times New Roman"/>
                  <w:kern w:val="1"/>
                  <w:sz w:val="20"/>
                  <w:szCs w:val="20"/>
                  <w:lang w:eastAsia="zh-CN"/>
                </w:rPr>
                <w:t>Technologie a hodnocení potravin</w:t>
              </w:r>
            </w:hyperlink>
          </w:p>
        </w:tc>
      </w:tr>
      <w:tr w:rsidR="00D37319" w:rsidRPr="00A27A64" w:rsidTr="00DD34D1"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Jméno a příjmení</w:t>
            </w:r>
          </w:p>
        </w:tc>
        <w:tc>
          <w:tcPr>
            <w:tcW w:w="45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E01E4B" w:rsidRDefault="00D37319" w:rsidP="00DD34D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01E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Jiří </w:t>
            </w:r>
            <w:bookmarkStart w:id="0" w:name="Mlček"/>
            <w:r w:rsidRPr="00E01E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Mlček</w:t>
            </w:r>
            <w:bookmarkEnd w:id="0"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Tituly</w:t>
            </w:r>
          </w:p>
        </w:tc>
        <w:tc>
          <w:tcPr>
            <w:tcW w:w="23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doc. Ing., Ph.D.</w:t>
            </w:r>
          </w:p>
        </w:tc>
      </w:tr>
      <w:tr w:rsidR="00D37319" w:rsidRPr="00A27A64" w:rsidTr="00DD34D1"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Rok narození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1981</w:t>
            </w: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typ vztahu k VŠ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pp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do kdy</w:t>
            </w:r>
          </w:p>
        </w:tc>
        <w:tc>
          <w:tcPr>
            <w:tcW w:w="15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N</w:t>
            </w:r>
          </w:p>
        </w:tc>
      </w:tr>
      <w:tr w:rsidR="00D37319" w:rsidRPr="00A27A64" w:rsidTr="00DD34D1">
        <w:tc>
          <w:tcPr>
            <w:tcW w:w="51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do kdy</w:t>
            </w:r>
          </w:p>
        </w:tc>
        <w:tc>
          <w:tcPr>
            <w:tcW w:w="15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</w:tr>
      <w:tr w:rsidR="00D37319" w:rsidRPr="00A27A64" w:rsidTr="00DD34D1">
        <w:tc>
          <w:tcPr>
            <w:tcW w:w="6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typ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prac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vztahu</w:t>
            </w:r>
            <w:proofErr w:type="gramEnd"/>
          </w:p>
        </w:tc>
        <w:tc>
          <w:tcPr>
            <w:tcW w:w="23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rozsah</w:t>
            </w:r>
          </w:p>
        </w:tc>
      </w:tr>
      <w:tr w:rsidR="00D37319" w:rsidRPr="00A27A64" w:rsidTr="00DD34D1">
        <w:tc>
          <w:tcPr>
            <w:tcW w:w="6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23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</w:tr>
      <w:tr w:rsidR="00D37319" w:rsidRPr="00A27A64" w:rsidTr="00DD34D1">
        <w:tc>
          <w:tcPr>
            <w:tcW w:w="6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23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D37319" w:rsidRPr="00A27A64" w:rsidTr="00DD34D1">
        <w:tc>
          <w:tcPr>
            <w:tcW w:w="6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23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D37319" w:rsidRPr="00A27A64" w:rsidTr="00DD34D1"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37319" w:rsidRPr="00A27A64" w:rsidTr="00DD34D1">
        <w:trPr>
          <w:trHeight w:val="338"/>
        </w:trPr>
        <w:tc>
          <w:tcPr>
            <w:tcW w:w="1020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243187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4B1CE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Bakalářská práce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 </w:t>
            </w:r>
            <w:r w:rsidRPr="001D5A5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(garant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předmětu pro specializaci Gastronomické technologie, 100 % s, jeden z vedoucích B</w:t>
            </w:r>
            <w:r w:rsidRPr="001D5A5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P)</w:t>
            </w:r>
          </w:p>
          <w:p w:rsidR="00D37319" w:rsidRPr="00243187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4B1CE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Gastronomické technologie I</w:t>
            </w:r>
            <w:r w:rsidRPr="0024318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(100 % p)</w:t>
            </w:r>
          </w:p>
          <w:p w:rsidR="00D37319" w:rsidRPr="00243187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4B1CE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Gastronomické technologie II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(</w:t>
            </w:r>
            <w:r w:rsidRPr="0024318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100 % p)</w:t>
            </w:r>
          </w:p>
          <w:p w:rsidR="00D37319" w:rsidRPr="00243187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4B1CE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Gastronomické technologie III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</w:t>
            </w:r>
            <w:r w:rsidRPr="0024318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(100 % p)</w:t>
            </w:r>
          </w:p>
          <w:p w:rsidR="00D37319" w:rsidRPr="00243187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24318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Obo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rový seminář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ab/>
              <w:t xml:space="preserve"> </w:t>
            </w:r>
            <w:r w:rsidRPr="0024318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(100 % s)</w:t>
            </w:r>
          </w:p>
          <w:p w:rsidR="00D37319" w:rsidRPr="00243187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4B1CE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Technologická zařízení ve stravovacích službách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(100 % p</w:t>
            </w:r>
            <w:r w:rsidRPr="0024318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)</w:t>
            </w:r>
          </w:p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D37319" w:rsidRPr="00A27A64" w:rsidTr="00DD34D1"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Údaje o vzdělání na VŠ </w:t>
            </w:r>
          </w:p>
        </w:tc>
      </w:tr>
      <w:tr w:rsidR="00D37319" w:rsidRPr="00A27A64" w:rsidTr="00DD34D1">
        <w:trPr>
          <w:trHeight w:val="372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2008: MENDELU Brno, AF, SP Chemie a technologie potravin, obor Vlastnosti a zpra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cování zemědělských materiálů a </w:t>
            </w: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produktů, Ph.D.</w:t>
            </w:r>
          </w:p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</w:tr>
      <w:tr w:rsidR="00D37319" w:rsidRPr="00A27A64" w:rsidTr="00DD34D1"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Údaje o odborném působení od absolvování VŠ</w:t>
            </w:r>
          </w:p>
        </w:tc>
      </w:tr>
      <w:tr w:rsidR="00D37319" w:rsidRPr="00A27A64" w:rsidTr="00DD34D1">
        <w:trPr>
          <w:trHeight w:val="190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Default="00D37319" w:rsidP="00DD3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2008 – dosud: UTB Zlín, FT, odborný asistent, od r. 2014 ředitel Ústavu analýzy a chemie potravin</w:t>
            </w:r>
          </w:p>
          <w:p w:rsidR="00D37319" w:rsidRPr="00A27A64" w:rsidRDefault="00D37319" w:rsidP="00DD3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7319" w:rsidRPr="00A27A64" w:rsidTr="00DD34D1">
        <w:trPr>
          <w:trHeight w:val="250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Zkušenosti s vedením kvalifikačních a rigorózních prací</w:t>
            </w:r>
          </w:p>
        </w:tc>
      </w:tr>
      <w:tr w:rsidR="00D37319" w:rsidRPr="00A27A64" w:rsidTr="00DD34D1">
        <w:trPr>
          <w:trHeight w:val="70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Počet obhájených prací, které vyučující vedl v období 2013 –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17: 11 BP, 11 DP</w:t>
            </w: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D37319" w:rsidRPr="00A27A64" w:rsidTr="00DD34D1">
        <w:trPr>
          <w:cantSplit/>
          <w:trHeight w:val="225"/>
        </w:trPr>
        <w:tc>
          <w:tcPr>
            <w:tcW w:w="3455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Rok udělení hodnosti</w:t>
            </w:r>
          </w:p>
        </w:tc>
        <w:tc>
          <w:tcPr>
            <w:tcW w:w="2247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Řízení konáno na VŠ</w:t>
            </w:r>
          </w:p>
        </w:tc>
        <w:tc>
          <w:tcPr>
            <w:tcW w:w="226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Ohlasy publikací</w:t>
            </w:r>
          </w:p>
        </w:tc>
      </w:tr>
      <w:tr w:rsidR="00D37319" w:rsidRPr="00A27A64" w:rsidTr="00DD34D1">
        <w:trPr>
          <w:cantSplit/>
        </w:trPr>
        <w:tc>
          <w:tcPr>
            <w:tcW w:w="3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Technologie potravin</w:t>
            </w:r>
          </w:p>
        </w:tc>
        <w:tc>
          <w:tcPr>
            <w:tcW w:w="22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2016</w:t>
            </w:r>
          </w:p>
        </w:tc>
        <w:tc>
          <w:tcPr>
            <w:tcW w:w="22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UTB Zlín</w:t>
            </w:r>
          </w:p>
        </w:tc>
        <w:tc>
          <w:tcPr>
            <w:tcW w:w="75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WOS</w:t>
            </w:r>
          </w:p>
        </w:tc>
        <w:tc>
          <w:tcPr>
            <w:tcW w:w="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proofErr w:type="spellStart"/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Scopus</w:t>
            </w:r>
            <w:proofErr w:type="spellEnd"/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ostatní</w:t>
            </w:r>
          </w:p>
        </w:tc>
      </w:tr>
      <w:tr w:rsidR="00D37319" w:rsidRPr="00A27A64" w:rsidTr="00DD34D1">
        <w:trPr>
          <w:cantSplit/>
          <w:trHeight w:val="70"/>
        </w:trPr>
        <w:tc>
          <w:tcPr>
            <w:tcW w:w="3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Obor jmenovacího řízení</w:t>
            </w:r>
          </w:p>
        </w:tc>
        <w:tc>
          <w:tcPr>
            <w:tcW w:w="22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Rok udělení hodnosti</w:t>
            </w:r>
          </w:p>
        </w:tc>
        <w:tc>
          <w:tcPr>
            <w:tcW w:w="22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Řízení konáno na VŠ</w:t>
            </w:r>
          </w:p>
        </w:tc>
        <w:tc>
          <w:tcPr>
            <w:tcW w:w="753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before="100" w:beforeAutospacing="1"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7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before="100" w:beforeAutospacing="1"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786</w:t>
            </w:r>
          </w:p>
        </w:tc>
        <w:tc>
          <w:tcPr>
            <w:tcW w:w="7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pacing w:before="100" w:beforeAutospacing="1"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neevid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</w:tr>
      <w:tr w:rsidR="00D37319" w:rsidRPr="00A27A64" w:rsidTr="00DD34D1">
        <w:trPr>
          <w:trHeight w:val="205"/>
        </w:trPr>
        <w:tc>
          <w:tcPr>
            <w:tcW w:w="3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22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22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753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7319" w:rsidRPr="00A27A64" w:rsidRDefault="00D37319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7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7319" w:rsidRPr="00A27A64" w:rsidRDefault="00D37319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7319" w:rsidRPr="00A27A64" w:rsidRDefault="00D37319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</w:tr>
      <w:tr w:rsidR="00D37319" w:rsidRPr="00A27A64" w:rsidTr="00DD34D1"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37319" w:rsidRPr="00A27A64" w:rsidTr="00DD34D1">
        <w:trPr>
          <w:trHeight w:val="560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cs-CZ"/>
              </w:rPr>
              <w:t>MLCEK, J. (55%)</w:t>
            </w: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JURIKOVA, T., SKROVANKOVA, S., SOCHOR, J.: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Quercetin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its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anti-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allergic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immune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response.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0"/>
                <w:szCs w:val="20"/>
                <w:lang w:eastAsia="cs-CZ"/>
              </w:rPr>
              <w:t>Molecules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</w:t>
            </w:r>
            <w:r w:rsidRPr="00A27A64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0"/>
                <w:szCs w:val="20"/>
                <w:lang w:eastAsia="cs-CZ"/>
              </w:rPr>
              <w:t>21</w:t>
            </w: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(5), 623, </w:t>
            </w:r>
            <w:r w:rsidRPr="00A27A6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cs-CZ"/>
              </w:rPr>
              <w:t>2016</w:t>
            </w: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. </w:t>
            </w:r>
          </w:p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</w:pPr>
          </w:p>
          <w:p w:rsidR="00D37319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JURIKOVA, T., </w:t>
            </w:r>
            <w:r w:rsidRPr="00A27A6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cs-CZ"/>
              </w:rPr>
              <w:t>MLCEK, J. (32%)</w:t>
            </w: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SKROVANKOVA, S., BALLA, S., SOCHOR, J., BARON, M., SUMCZYNSKI, D.: Black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crowberry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Empetrum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nigrum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L.)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flavonoids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their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health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promoting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activity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0"/>
                <w:szCs w:val="20"/>
                <w:lang w:eastAsia="cs-CZ"/>
              </w:rPr>
              <w:t>Molecules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</w:t>
            </w:r>
            <w:r w:rsidRPr="00A27A64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0"/>
                <w:szCs w:val="20"/>
                <w:lang w:eastAsia="cs-CZ"/>
              </w:rPr>
              <w:t>21</w:t>
            </w: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(12), 1685, </w:t>
            </w:r>
            <w:r w:rsidRPr="00A27A6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cs-CZ"/>
              </w:rPr>
              <w:t>2016</w:t>
            </w: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. </w:t>
            </w:r>
          </w:p>
          <w:p w:rsidR="00D37319" w:rsidRPr="00A27A64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</w:pPr>
          </w:p>
          <w:p w:rsidR="00D37319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MLČEK, J. (35%)</w:t>
            </w:r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, DRUŽBÍKOVÁ, H., VALÁŠEK, P., SOCHOR, J., JURÍKOVÁ, T., BORKOVCOVÁ, M., BARON, M., BALLA, S.: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Assessment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of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total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polar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materials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in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frying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fats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from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Czech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restaurants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Italian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Journal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 of Food Science</w:t>
            </w:r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27(2), 32-37, </w:t>
            </w:r>
            <w:r w:rsidRPr="00A27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2015</w:t>
            </w:r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. </w:t>
            </w:r>
          </w:p>
          <w:p w:rsidR="00D37319" w:rsidRPr="00A27A64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  <w:p w:rsidR="00D37319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SUMCZYNSKI, D., BUBELOVÁ, Z., SNEYD, J., ERB-WEBER, S., </w:t>
            </w:r>
            <w:r w:rsidRPr="00A27A6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cs-CZ"/>
              </w:rPr>
              <w:t>MLČEK, J. (10%)</w:t>
            </w:r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:</w:t>
            </w: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Total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phenolics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flavonoids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antioxidant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activity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crude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fibre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digestibility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in non-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traditional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wheat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flakes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muesli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 . Food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>Chemistry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cs-CZ"/>
              </w:rPr>
              <w:t xml:space="preserve">, </w:t>
            </w: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174, 319-325, </w:t>
            </w: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2015</w:t>
            </w:r>
            <w:r w:rsidRPr="00A27A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</w:p>
          <w:p w:rsidR="00D37319" w:rsidRPr="00A27A64" w:rsidRDefault="00D37319" w:rsidP="00DD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37319" w:rsidRPr="00A27A64" w:rsidRDefault="00D37319" w:rsidP="00D3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MLČEK, J. (55%)</w:t>
            </w:r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, ROP, O., JURÍKOVÁ, T., SOCHOR, J., FIŠERA, M., BALLA, S., BARON, M., HRABĚ, J.: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Bioactive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compounds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in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sweet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rowanberry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fruits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of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interspecific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Rowan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crosses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Central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European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Journal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 of Biology</w:t>
            </w:r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9(11), 1078-1086, </w:t>
            </w:r>
            <w:r w:rsidRPr="00A27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2014</w:t>
            </w:r>
            <w:r w:rsidRPr="00A2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. </w:t>
            </w:r>
          </w:p>
        </w:tc>
      </w:tr>
      <w:tr w:rsidR="00D37319" w:rsidRPr="00A27A64" w:rsidTr="00DD34D1">
        <w:trPr>
          <w:trHeight w:val="218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Působení v zahraničí</w:t>
            </w:r>
          </w:p>
        </w:tc>
      </w:tr>
      <w:tr w:rsidR="00D37319" w:rsidRPr="00A27A64" w:rsidTr="00DD34D1">
        <w:trPr>
          <w:trHeight w:val="328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3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2007: ekologická farma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Azienda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Agricola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Vairo</w:t>
            </w:r>
            <w:proofErr w:type="spellEnd"/>
            <w:r w:rsidRPr="00A27A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 Itálie, pracovně-studijní stáž v rámci programu LEONARDO (3 měsíce)</w:t>
            </w:r>
            <w:bookmarkStart w:id="1" w:name="_GoBack"/>
            <w:bookmarkEnd w:id="1"/>
          </w:p>
        </w:tc>
      </w:tr>
      <w:tr w:rsidR="00D37319" w:rsidRPr="00A27A64" w:rsidTr="00DD34D1">
        <w:trPr>
          <w:cantSplit/>
          <w:trHeight w:val="470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Podpis </w:t>
            </w:r>
          </w:p>
        </w:tc>
        <w:tc>
          <w:tcPr>
            <w:tcW w:w="45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A27A6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2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319" w:rsidRPr="00A27A64" w:rsidRDefault="00D37319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</w:tbl>
    <w:p w:rsidR="00DF5664" w:rsidRDefault="00DF5664"/>
    <w:sectPr w:rsidR="00DF5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19"/>
    <w:rsid w:val="00D37319"/>
    <w:rsid w:val="00D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02FD6-2DC9-434F-B8CA-A806B276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73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373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Šenkárová</dc:creator>
  <cp:keywords/>
  <dc:description/>
  <cp:lastModifiedBy>Lenka Šenkárová</cp:lastModifiedBy>
  <cp:revision>1</cp:revision>
  <dcterms:created xsi:type="dcterms:W3CDTF">2019-03-08T06:33:00Z</dcterms:created>
  <dcterms:modified xsi:type="dcterms:W3CDTF">2019-03-08T06:34:00Z</dcterms:modified>
</cp:coreProperties>
</file>